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86738" w14:textId="77777777" w:rsidR="00723BB4" w:rsidRPr="00515B12" w:rsidRDefault="00723BB4" w:rsidP="00515B12">
      <w:pPr>
        <w:jc w:val="center"/>
        <w:rPr>
          <w:b/>
          <w:bCs/>
          <w:color w:val="501549" w:themeColor="accent5" w:themeShade="80"/>
        </w:rPr>
      </w:pPr>
      <w:r w:rsidRPr="00515B12">
        <w:rPr>
          <w:b/>
          <w:bCs/>
          <w:color w:val="501549" w:themeColor="accent5" w:themeShade="80"/>
        </w:rPr>
        <w:t>SOAN*2400 – Introduction to Gender Systems</w:t>
      </w:r>
    </w:p>
    <w:p w14:paraId="2A1CC309" w14:textId="77777777" w:rsidR="00723BB4" w:rsidRPr="00515B12" w:rsidRDefault="00723BB4" w:rsidP="00723BB4">
      <w:pPr>
        <w:jc w:val="center"/>
        <w:rPr>
          <w:b/>
          <w:bCs/>
          <w:color w:val="501549" w:themeColor="accent5" w:themeShade="80"/>
        </w:rPr>
      </w:pPr>
      <w:r w:rsidRPr="00515B12">
        <w:rPr>
          <w:b/>
          <w:bCs/>
          <w:color w:val="501549" w:themeColor="accent5" w:themeShade="80"/>
        </w:rPr>
        <w:t>Fall 2024</w:t>
      </w:r>
    </w:p>
    <w:p w14:paraId="2C72F521" w14:textId="77777777" w:rsidR="00723BB4" w:rsidRPr="00515B12" w:rsidRDefault="00723BB4" w:rsidP="00723BB4">
      <w:pPr>
        <w:pBdr>
          <w:bottom w:val="single" w:sz="6" w:space="1" w:color="auto"/>
        </w:pBdr>
        <w:jc w:val="center"/>
        <w:rPr>
          <w:b/>
          <w:bCs/>
          <w:color w:val="501549" w:themeColor="accent5" w:themeShade="80"/>
        </w:rPr>
      </w:pPr>
      <w:r w:rsidRPr="00515B12">
        <w:rPr>
          <w:b/>
          <w:bCs/>
          <w:color w:val="501549" w:themeColor="accent5" w:themeShade="80"/>
        </w:rPr>
        <w:t>University of Guelph – Department of Sociology and Anthropology</w:t>
      </w:r>
    </w:p>
    <w:p w14:paraId="5132CA0E" w14:textId="77777777" w:rsidR="00723BB4" w:rsidRPr="00515B12" w:rsidRDefault="00723BB4" w:rsidP="00723BB4">
      <w:pPr>
        <w:jc w:val="center"/>
        <w:rPr>
          <w:b/>
          <w:bCs/>
          <w:color w:val="501549" w:themeColor="accent5" w:themeShade="80"/>
        </w:rPr>
      </w:pPr>
    </w:p>
    <w:p w14:paraId="247E5779" w14:textId="77777777" w:rsidR="00723BB4" w:rsidRPr="00515B12" w:rsidRDefault="00723BB4" w:rsidP="00723BB4">
      <w:r w:rsidRPr="00515B12">
        <w:rPr>
          <w:b/>
          <w:bCs/>
        </w:rPr>
        <w:t>Instructor:</w:t>
      </w:r>
      <w:r w:rsidRPr="00515B12">
        <w:rPr>
          <w:b/>
          <w:bCs/>
        </w:rPr>
        <w:tab/>
      </w:r>
      <w:r w:rsidRPr="00515B12">
        <w:rPr>
          <w:b/>
          <w:bCs/>
        </w:rPr>
        <w:tab/>
      </w:r>
      <w:r w:rsidRPr="00515B12">
        <w:t>Instructor</w:t>
      </w:r>
      <w:r w:rsidRPr="00515B12">
        <w:rPr>
          <w:b/>
          <w:bCs/>
        </w:rPr>
        <w:t xml:space="preserve"> </w:t>
      </w:r>
      <w:r w:rsidRPr="00515B12">
        <w:t>Julia Linares-</w:t>
      </w:r>
      <w:proofErr w:type="spellStart"/>
      <w:r w:rsidRPr="00515B12">
        <w:t>Roake</w:t>
      </w:r>
      <w:proofErr w:type="spellEnd"/>
    </w:p>
    <w:p w14:paraId="1DEE9560" w14:textId="6D5D158C" w:rsidR="00723BB4" w:rsidRPr="00515B12" w:rsidRDefault="00723BB4" w:rsidP="00723BB4">
      <w:pPr>
        <w:rPr>
          <w:b/>
          <w:bCs/>
        </w:rPr>
      </w:pPr>
      <w:r w:rsidRPr="00515B12">
        <w:rPr>
          <w:b/>
          <w:bCs/>
        </w:rPr>
        <w:t>Class Location:</w:t>
      </w:r>
      <w:r w:rsidRPr="00515B12">
        <w:rPr>
          <w:b/>
          <w:bCs/>
        </w:rPr>
        <w:tab/>
      </w:r>
      <w:r w:rsidR="00A07AC7" w:rsidRPr="00515B12">
        <w:t>MACS 209</w:t>
      </w:r>
    </w:p>
    <w:p w14:paraId="64E5443D" w14:textId="77777777" w:rsidR="00723BB4" w:rsidRPr="00515B12" w:rsidRDefault="00723BB4" w:rsidP="00723BB4">
      <w:r w:rsidRPr="00515B12">
        <w:rPr>
          <w:b/>
          <w:bCs/>
        </w:rPr>
        <w:t>Class Time:</w:t>
      </w:r>
      <w:r w:rsidRPr="00515B12">
        <w:rPr>
          <w:b/>
          <w:bCs/>
        </w:rPr>
        <w:tab/>
      </w:r>
      <w:r w:rsidRPr="00515B12">
        <w:rPr>
          <w:b/>
          <w:bCs/>
        </w:rPr>
        <w:tab/>
      </w:r>
      <w:r w:rsidRPr="00515B12">
        <w:t>Tues/Thurs 10am – 11:20am</w:t>
      </w:r>
    </w:p>
    <w:p w14:paraId="6D1F99BB" w14:textId="77777777" w:rsidR="00723BB4" w:rsidRPr="00515B12" w:rsidRDefault="00723BB4" w:rsidP="00723BB4">
      <w:r w:rsidRPr="00515B12">
        <w:rPr>
          <w:b/>
          <w:bCs/>
        </w:rPr>
        <w:t>Contact:</w:t>
      </w:r>
      <w:r w:rsidRPr="00515B12">
        <w:rPr>
          <w:b/>
          <w:bCs/>
        </w:rPr>
        <w:tab/>
      </w:r>
      <w:r w:rsidRPr="00515B12">
        <w:rPr>
          <w:b/>
          <w:bCs/>
        </w:rPr>
        <w:tab/>
      </w:r>
      <w:r w:rsidRPr="00515B12">
        <w:t>linaresj@uoguelph.ca</w:t>
      </w:r>
    </w:p>
    <w:p w14:paraId="7059833B" w14:textId="77777777" w:rsidR="00723BB4" w:rsidRPr="00515B12" w:rsidRDefault="00723BB4" w:rsidP="00723BB4">
      <w:r w:rsidRPr="00515B12">
        <w:rPr>
          <w:b/>
          <w:bCs/>
        </w:rPr>
        <w:t>Office Hours:</w:t>
      </w:r>
      <w:r w:rsidRPr="00515B12">
        <w:rPr>
          <w:b/>
          <w:bCs/>
        </w:rPr>
        <w:tab/>
      </w:r>
      <w:r w:rsidRPr="00515B12">
        <w:rPr>
          <w:b/>
          <w:bCs/>
        </w:rPr>
        <w:tab/>
      </w:r>
      <w:r w:rsidRPr="00515B12">
        <w:t>By appointment via Zoom or Microsoft Teams</w:t>
      </w:r>
    </w:p>
    <w:p w14:paraId="350C68A5" w14:textId="77777777" w:rsidR="00723BB4" w:rsidRPr="00515B12" w:rsidRDefault="00723BB4" w:rsidP="00723BB4"/>
    <w:p w14:paraId="38173F4F" w14:textId="77777777" w:rsidR="00723BB4" w:rsidRPr="00515B12" w:rsidRDefault="00723BB4" w:rsidP="00723BB4">
      <w:pPr>
        <w:rPr>
          <w:b/>
          <w:bCs/>
        </w:rPr>
      </w:pPr>
      <w:r w:rsidRPr="00515B12">
        <w:rPr>
          <w:b/>
          <w:bCs/>
        </w:rPr>
        <w:t>Course Description:</w:t>
      </w:r>
    </w:p>
    <w:p w14:paraId="6EE48A78" w14:textId="77777777" w:rsidR="00723BB4" w:rsidRPr="00515B12" w:rsidRDefault="00723BB4" w:rsidP="00723BB4">
      <w:pPr>
        <w:rPr>
          <w:b/>
          <w:bCs/>
        </w:rPr>
      </w:pPr>
    </w:p>
    <w:p w14:paraId="50A11674" w14:textId="6E02F0C6" w:rsidR="00723BB4" w:rsidRPr="00515B12" w:rsidRDefault="00723BB4" w:rsidP="00723BB4">
      <w:r w:rsidRPr="00515B12">
        <w:t xml:space="preserve">This course examines the ways in which gender shapes and is shaped by internal and external systems. The course will emphasize different ways of conceptualizing gender, including the social construction of gender, the embodiment of gender, and critical lenses for considering how the conceptualization of gender operates amongst different identities. Learners will gain an overview of how gender operates within different systems (e.g., </w:t>
      </w:r>
      <w:r w:rsidR="007257D1" w:rsidRPr="00515B12">
        <w:t xml:space="preserve">family, </w:t>
      </w:r>
      <w:r w:rsidRPr="00515B12">
        <w:t>workplace, educatio</w:t>
      </w:r>
      <w:r w:rsidR="007257D1" w:rsidRPr="00515B12">
        <w:t>n</w:t>
      </w:r>
      <w:r w:rsidRPr="00515B12">
        <w:t>, state), as well as a broad understanding of different gendered and feminist movements in Canada and abroad.</w:t>
      </w:r>
      <w:r w:rsidR="007257D1" w:rsidRPr="00515B12">
        <w:t xml:space="preserve"> </w:t>
      </w:r>
    </w:p>
    <w:p w14:paraId="4EE73988" w14:textId="77777777" w:rsidR="00723BB4" w:rsidRPr="00515B12" w:rsidRDefault="00723BB4" w:rsidP="00723BB4">
      <w:pPr>
        <w:rPr>
          <w:b/>
          <w:bCs/>
        </w:rPr>
      </w:pPr>
    </w:p>
    <w:p w14:paraId="1796E4A2" w14:textId="77777777" w:rsidR="00723BB4" w:rsidRPr="00515B12" w:rsidRDefault="00723BB4" w:rsidP="00723BB4">
      <w:pPr>
        <w:rPr>
          <w:b/>
          <w:bCs/>
        </w:rPr>
      </w:pPr>
      <w:r w:rsidRPr="00515B12">
        <w:rPr>
          <w:b/>
          <w:bCs/>
        </w:rPr>
        <w:t>Student Learning Outcomes:</w:t>
      </w:r>
    </w:p>
    <w:p w14:paraId="12CDE69B" w14:textId="77777777" w:rsidR="00723BB4" w:rsidRPr="00515B12" w:rsidRDefault="00723BB4" w:rsidP="00723BB4">
      <w:pPr>
        <w:rPr>
          <w:b/>
          <w:bCs/>
        </w:rPr>
      </w:pPr>
    </w:p>
    <w:p w14:paraId="0014944A" w14:textId="77777777" w:rsidR="00723BB4" w:rsidRPr="00515B12" w:rsidRDefault="00723BB4" w:rsidP="00723BB4">
      <w:r w:rsidRPr="00515B12">
        <w:t>By the end of this semester, successful learners should be able to:</w:t>
      </w:r>
    </w:p>
    <w:p w14:paraId="30899567" w14:textId="1A99DBA9" w:rsidR="00723BB4" w:rsidRPr="00515B12" w:rsidRDefault="00723BB4" w:rsidP="00723BB4">
      <w:pPr>
        <w:pStyle w:val="ListParagraph"/>
        <w:numPr>
          <w:ilvl w:val="0"/>
          <w:numId w:val="2"/>
        </w:numPr>
      </w:pPr>
      <w:r w:rsidRPr="00515B12">
        <w:t>Define different ways of conceptualizing gender</w:t>
      </w:r>
      <w:r w:rsidR="00C7715B" w:rsidRPr="00515B12">
        <w:t>ed and sexual experiences</w:t>
      </w:r>
    </w:p>
    <w:p w14:paraId="1DF97EEC" w14:textId="611FFA9C" w:rsidR="00723BB4" w:rsidRPr="00515B12" w:rsidRDefault="00723BB4" w:rsidP="00723BB4">
      <w:pPr>
        <w:pStyle w:val="ListParagraph"/>
        <w:numPr>
          <w:ilvl w:val="0"/>
          <w:numId w:val="2"/>
        </w:numPr>
        <w:spacing w:after="200" w:line="276" w:lineRule="auto"/>
      </w:pPr>
      <w:r w:rsidRPr="00515B12">
        <w:t xml:space="preserve">Critically </w:t>
      </w:r>
      <w:r w:rsidR="00C7715B" w:rsidRPr="00515B12">
        <w:t>analyze</w:t>
      </w:r>
      <w:r w:rsidRPr="00515B12">
        <w:t xml:space="preserve"> the intersections of gender, culture, race, ability and class</w:t>
      </w:r>
    </w:p>
    <w:p w14:paraId="0786E899" w14:textId="77777777" w:rsidR="00723BB4" w:rsidRPr="00515B12" w:rsidRDefault="00723BB4" w:rsidP="00723BB4">
      <w:pPr>
        <w:pStyle w:val="ListParagraph"/>
        <w:numPr>
          <w:ilvl w:val="0"/>
          <w:numId w:val="2"/>
        </w:numPr>
        <w:spacing w:after="200" w:line="276" w:lineRule="auto"/>
      </w:pPr>
      <w:r w:rsidRPr="00515B12">
        <w:t>Engage in critical thinking around the social world, and reflect on past, current, and future means of addressing gendered and structural inequality.</w:t>
      </w:r>
    </w:p>
    <w:p w14:paraId="5D95F1C9" w14:textId="777A2E35" w:rsidR="00723BB4" w:rsidRPr="00515B12" w:rsidRDefault="00723BB4" w:rsidP="00723BB4">
      <w:pPr>
        <w:pStyle w:val="ListParagraph"/>
        <w:numPr>
          <w:ilvl w:val="0"/>
          <w:numId w:val="2"/>
        </w:numPr>
        <w:spacing w:after="200" w:line="276" w:lineRule="auto"/>
      </w:pPr>
      <w:r w:rsidRPr="00515B12">
        <w:t>Develop skills in effective collaborative</w:t>
      </w:r>
      <w:r w:rsidR="00C7715B" w:rsidRPr="00515B12">
        <w:t xml:space="preserve"> and participatory</w:t>
      </w:r>
      <w:r w:rsidRPr="00515B12">
        <w:t xml:space="preserve"> work.</w:t>
      </w:r>
    </w:p>
    <w:p w14:paraId="2BDFD864" w14:textId="6937988A" w:rsidR="00723BB4" w:rsidRPr="00515B12" w:rsidRDefault="00723BB4" w:rsidP="00723BB4">
      <w:pPr>
        <w:pStyle w:val="ListParagraph"/>
        <w:numPr>
          <w:ilvl w:val="0"/>
          <w:numId w:val="2"/>
        </w:numPr>
      </w:pPr>
      <w:r w:rsidRPr="00515B12">
        <w:t>Develop critical reading and writing skills.</w:t>
      </w:r>
    </w:p>
    <w:p w14:paraId="457D3FA2" w14:textId="77777777" w:rsidR="00723BB4" w:rsidRPr="00515B12" w:rsidRDefault="00723BB4" w:rsidP="00723BB4">
      <w:pPr>
        <w:rPr>
          <w:b/>
          <w:bCs/>
        </w:rPr>
      </w:pPr>
    </w:p>
    <w:p w14:paraId="70FEF261" w14:textId="77777777" w:rsidR="00723BB4" w:rsidRPr="00515B12" w:rsidRDefault="00723BB4" w:rsidP="00723BB4">
      <w:pPr>
        <w:rPr>
          <w:b/>
          <w:bCs/>
        </w:rPr>
      </w:pPr>
      <w:r w:rsidRPr="00515B12">
        <w:rPr>
          <w:b/>
          <w:bCs/>
        </w:rPr>
        <w:t>Format of Delivery:</w:t>
      </w:r>
    </w:p>
    <w:p w14:paraId="7FA56CD8" w14:textId="77777777" w:rsidR="00723BB4" w:rsidRPr="00515B12" w:rsidRDefault="00723BB4" w:rsidP="00723BB4">
      <w:pPr>
        <w:rPr>
          <w:b/>
          <w:bCs/>
        </w:rPr>
      </w:pPr>
    </w:p>
    <w:p w14:paraId="03E3FF33" w14:textId="24EC20D5" w:rsidR="00C7715B" w:rsidRPr="00515B12" w:rsidRDefault="00723BB4" w:rsidP="00723BB4">
      <w:r w:rsidRPr="00515B12">
        <w:t>It is expected that the course will primarily take place in person. Class time will involve lectures and time set out for interactive discussion and small group exercises, as well as online discussions geared towards connecting course material to your own experiences.</w:t>
      </w:r>
      <w:r w:rsidR="00515B12" w:rsidRPr="00515B12">
        <w:t xml:space="preserve"> A combination of</w:t>
      </w:r>
      <w:r w:rsidRPr="00515B12">
        <w:t xml:space="preserve"> </w:t>
      </w:r>
      <w:r w:rsidR="00515B12" w:rsidRPr="00515B12">
        <w:t>i</w:t>
      </w:r>
      <w:r w:rsidRPr="00515B12">
        <w:t xml:space="preserve">n person participation is a required component of this course, and you will be required to document your participation at the end of each of the three units. </w:t>
      </w:r>
      <w:r w:rsidRPr="00515B12">
        <w:rPr>
          <w:lang w:val="en-CA"/>
        </w:rPr>
        <w:t>You must come prepared to participate.</w:t>
      </w:r>
    </w:p>
    <w:p w14:paraId="17379904" w14:textId="77777777" w:rsidR="00C7715B" w:rsidRPr="00515B12" w:rsidRDefault="00C7715B" w:rsidP="00723BB4">
      <w:pPr>
        <w:rPr>
          <w:b/>
          <w:bCs/>
          <w:highlight w:val="green"/>
        </w:rPr>
      </w:pPr>
    </w:p>
    <w:p w14:paraId="58E2F86C" w14:textId="2BD30A53" w:rsidR="00723BB4" w:rsidRPr="00515B12" w:rsidRDefault="00723BB4" w:rsidP="00723BB4">
      <w:pPr>
        <w:rPr>
          <w:b/>
          <w:bCs/>
        </w:rPr>
      </w:pPr>
      <w:r w:rsidRPr="00515B12">
        <w:rPr>
          <w:b/>
          <w:bCs/>
        </w:rPr>
        <w:t>Evaluation Scheme (Subject to Modification):</w:t>
      </w:r>
    </w:p>
    <w:tbl>
      <w:tblPr>
        <w:tblStyle w:val="TableGrid"/>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0"/>
        <w:gridCol w:w="3690"/>
      </w:tblGrid>
      <w:tr w:rsidR="00723BB4" w:rsidRPr="00515B12" w14:paraId="05FE255D" w14:textId="77777777" w:rsidTr="00E008A5">
        <w:tc>
          <w:tcPr>
            <w:tcW w:w="6300" w:type="dxa"/>
            <w:tcBorders>
              <w:top w:val="single" w:sz="4" w:space="0" w:color="auto"/>
              <w:bottom w:val="single" w:sz="4" w:space="0" w:color="auto"/>
            </w:tcBorders>
            <w:shd w:val="clear" w:color="auto" w:fill="E8E8E8" w:themeFill="background2"/>
          </w:tcPr>
          <w:p w14:paraId="16612AF7" w14:textId="77777777" w:rsidR="00723BB4" w:rsidRPr="00515B12" w:rsidRDefault="00723BB4" w:rsidP="00A87B29">
            <w:pPr>
              <w:jc w:val="center"/>
              <w:rPr>
                <w:b/>
                <w:bCs/>
              </w:rPr>
            </w:pPr>
            <w:r w:rsidRPr="00515B12">
              <w:rPr>
                <w:b/>
                <w:bCs/>
              </w:rPr>
              <w:t>Assessment</w:t>
            </w:r>
          </w:p>
        </w:tc>
        <w:tc>
          <w:tcPr>
            <w:tcW w:w="3690" w:type="dxa"/>
            <w:tcBorders>
              <w:top w:val="single" w:sz="4" w:space="0" w:color="auto"/>
              <w:bottom w:val="single" w:sz="4" w:space="0" w:color="auto"/>
            </w:tcBorders>
            <w:shd w:val="clear" w:color="auto" w:fill="E8E8E8" w:themeFill="background2"/>
          </w:tcPr>
          <w:p w14:paraId="28BA1681" w14:textId="77777777" w:rsidR="00723BB4" w:rsidRPr="00515B12" w:rsidRDefault="00723BB4" w:rsidP="00A87B29">
            <w:pPr>
              <w:jc w:val="center"/>
              <w:rPr>
                <w:b/>
                <w:bCs/>
              </w:rPr>
            </w:pPr>
            <w:r w:rsidRPr="00515B12">
              <w:rPr>
                <w:b/>
                <w:bCs/>
              </w:rPr>
              <w:t>% of Final</w:t>
            </w:r>
          </w:p>
        </w:tc>
      </w:tr>
      <w:tr w:rsidR="00723BB4" w:rsidRPr="00515B12" w14:paraId="0C360740" w14:textId="77777777" w:rsidTr="00E008A5">
        <w:tc>
          <w:tcPr>
            <w:tcW w:w="6300" w:type="dxa"/>
            <w:tcBorders>
              <w:top w:val="single" w:sz="4" w:space="0" w:color="auto"/>
            </w:tcBorders>
          </w:tcPr>
          <w:p w14:paraId="01EC13BE" w14:textId="2172F596" w:rsidR="00723BB4" w:rsidRPr="00515B12" w:rsidRDefault="00723BB4" w:rsidP="00A87B29">
            <w:pPr>
              <w:jc w:val="center"/>
            </w:pPr>
            <w:r w:rsidRPr="00515B12">
              <w:t>Class Participation</w:t>
            </w:r>
            <w:r w:rsidR="00E008A5">
              <w:t xml:space="preserve"> and Self-Assessment</w:t>
            </w:r>
            <w:r w:rsidRPr="00515B12">
              <w:t xml:space="preserve"> (10% x 3 units)</w:t>
            </w:r>
          </w:p>
        </w:tc>
        <w:tc>
          <w:tcPr>
            <w:tcW w:w="3690" w:type="dxa"/>
            <w:tcBorders>
              <w:top w:val="single" w:sz="4" w:space="0" w:color="auto"/>
            </w:tcBorders>
          </w:tcPr>
          <w:p w14:paraId="58BE00EA" w14:textId="77777777" w:rsidR="00723BB4" w:rsidRPr="00515B12" w:rsidRDefault="00723BB4" w:rsidP="00A87B29">
            <w:pPr>
              <w:jc w:val="center"/>
            </w:pPr>
            <w:r w:rsidRPr="00515B12">
              <w:t>30%</w:t>
            </w:r>
          </w:p>
        </w:tc>
      </w:tr>
      <w:tr w:rsidR="00723BB4" w:rsidRPr="00515B12" w14:paraId="0FFB1320" w14:textId="77777777" w:rsidTr="00E008A5">
        <w:tc>
          <w:tcPr>
            <w:tcW w:w="6300" w:type="dxa"/>
          </w:tcPr>
          <w:p w14:paraId="0FC0DE7F" w14:textId="46A2EB40" w:rsidR="00723BB4" w:rsidRPr="00515B12" w:rsidRDefault="00723BB4" w:rsidP="00A87B29">
            <w:pPr>
              <w:jc w:val="center"/>
            </w:pPr>
            <w:r w:rsidRPr="00515B12">
              <w:t>Take Home Exams (</w:t>
            </w:r>
            <w:r w:rsidR="00900F74">
              <w:t>~</w:t>
            </w:r>
            <w:r w:rsidRPr="00515B12">
              <w:t>1</w:t>
            </w:r>
            <w:r w:rsidR="00900F74">
              <w:t>7</w:t>
            </w:r>
            <w:r w:rsidRPr="00515B12">
              <w:t>% x 3 units)</w:t>
            </w:r>
          </w:p>
        </w:tc>
        <w:tc>
          <w:tcPr>
            <w:tcW w:w="3690" w:type="dxa"/>
          </w:tcPr>
          <w:p w14:paraId="7524631C" w14:textId="5EC27570" w:rsidR="00723BB4" w:rsidRPr="00515B12" w:rsidRDefault="00692422" w:rsidP="00A87B29">
            <w:pPr>
              <w:jc w:val="center"/>
            </w:pPr>
            <w:r>
              <w:t>50</w:t>
            </w:r>
            <w:r w:rsidR="00723BB4" w:rsidRPr="00515B12">
              <w:t>%</w:t>
            </w:r>
          </w:p>
        </w:tc>
      </w:tr>
      <w:tr w:rsidR="00723BB4" w:rsidRPr="00515B12" w14:paraId="00C524C0" w14:textId="77777777" w:rsidTr="00E008A5">
        <w:tc>
          <w:tcPr>
            <w:tcW w:w="6300" w:type="dxa"/>
          </w:tcPr>
          <w:p w14:paraId="656CD97B" w14:textId="696F8F65" w:rsidR="00723BB4" w:rsidRPr="00515B12" w:rsidRDefault="005B06BB" w:rsidP="00A87B29">
            <w:pPr>
              <w:jc w:val="center"/>
            </w:pPr>
            <w:r>
              <w:t xml:space="preserve">Digital Storytelling </w:t>
            </w:r>
            <w:r w:rsidR="00692422">
              <w:t>Project</w:t>
            </w:r>
          </w:p>
        </w:tc>
        <w:tc>
          <w:tcPr>
            <w:tcW w:w="3690" w:type="dxa"/>
          </w:tcPr>
          <w:p w14:paraId="1BE023AB" w14:textId="65BC1885" w:rsidR="00723BB4" w:rsidRPr="00515B12" w:rsidRDefault="00692422" w:rsidP="00A87B29">
            <w:pPr>
              <w:jc w:val="center"/>
            </w:pPr>
            <w:r>
              <w:t>20</w:t>
            </w:r>
            <w:r w:rsidR="00723BB4" w:rsidRPr="00515B12">
              <w:t>%</w:t>
            </w:r>
          </w:p>
        </w:tc>
      </w:tr>
      <w:tr w:rsidR="00723BB4" w:rsidRPr="00515B12" w14:paraId="31725ADB" w14:textId="77777777" w:rsidTr="00E008A5">
        <w:tc>
          <w:tcPr>
            <w:tcW w:w="6300" w:type="dxa"/>
            <w:tcBorders>
              <w:bottom w:val="single" w:sz="4" w:space="0" w:color="auto"/>
            </w:tcBorders>
            <w:shd w:val="clear" w:color="auto" w:fill="E8E8E8" w:themeFill="background2"/>
          </w:tcPr>
          <w:p w14:paraId="261F941F" w14:textId="77777777" w:rsidR="00723BB4" w:rsidRPr="00515B12" w:rsidRDefault="00723BB4" w:rsidP="00A87B29">
            <w:pPr>
              <w:jc w:val="center"/>
              <w:rPr>
                <w:b/>
                <w:bCs/>
              </w:rPr>
            </w:pPr>
            <w:r w:rsidRPr="00515B12">
              <w:rPr>
                <w:b/>
                <w:bCs/>
              </w:rPr>
              <w:t>Total</w:t>
            </w:r>
          </w:p>
        </w:tc>
        <w:tc>
          <w:tcPr>
            <w:tcW w:w="3690" w:type="dxa"/>
            <w:tcBorders>
              <w:bottom w:val="single" w:sz="4" w:space="0" w:color="auto"/>
            </w:tcBorders>
            <w:shd w:val="clear" w:color="auto" w:fill="E8E8E8" w:themeFill="background2"/>
          </w:tcPr>
          <w:p w14:paraId="24822FD9" w14:textId="77777777" w:rsidR="00723BB4" w:rsidRPr="00515B12" w:rsidRDefault="00723BB4" w:rsidP="00A87B29">
            <w:pPr>
              <w:jc w:val="center"/>
              <w:rPr>
                <w:b/>
                <w:bCs/>
              </w:rPr>
            </w:pPr>
            <w:r w:rsidRPr="00515B12">
              <w:rPr>
                <w:b/>
                <w:bCs/>
              </w:rPr>
              <w:t>100%</w:t>
            </w:r>
          </w:p>
        </w:tc>
      </w:tr>
    </w:tbl>
    <w:p w14:paraId="0B145C8A" w14:textId="77777777" w:rsidR="00723BB4" w:rsidRPr="00515B12" w:rsidRDefault="00723BB4" w:rsidP="00723BB4">
      <w:pPr>
        <w:rPr>
          <w:b/>
          <w:bCs/>
        </w:rPr>
      </w:pPr>
    </w:p>
    <w:p w14:paraId="6CDF30D1" w14:textId="77777777" w:rsidR="00723BB4" w:rsidRPr="00515B12" w:rsidRDefault="00723BB4" w:rsidP="00723BB4">
      <w:pPr>
        <w:rPr>
          <w:highlight w:val="green"/>
        </w:rPr>
      </w:pPr>
    </w:p>
    <w:p w14:paraId="4960BE15" w14:textId="77777777" w:rsidR="00723BB4" w:rsidRPr="00515B12" w:rsidRDefault="00723BB4" w:rsidP="00723BB4">
      <w:pPr>
        <w:rPr>
          <w:b/>
          <w:bCs/>
        </w:rPr>
      </w:pPr>
    </w:p>
    <w:p w14:paraId="7A57E9BC" w14:textId="2DD93665" w:rsidR="00C80E42" w:rsidRPr="00515B12" w:rsidRDefault="00723BB4">
      <w:pPr>
        <w:rPr>
          <w:b/>
          <w:bCs/>
        </w:rPr>
      </w:pPr>
      <w:r w:rsidRPr="00515B12">
        <w:rPr>
          <w:b/>
          <w:bCs/>
        </w:rPr>
        <w:t>Required Readings:</w:t>
      </w:r>
    </w:p>
    <w:p w14:paraId="3D47C54F" w14:textId="77777777" w:rsidR="00C7715B" w:rsidRPr="00515B12" w:rsidRDefault="00C7715B">
      <w:pPr>
        <w:rPr>
          <w:b/>
          <w:bCs/>
        </w:rPr>
      </w:pPr>
    </w:p>
    <w:p w14:paraId="041FF22C" w14:textId="77777777" w:rsidR="00C7715B" w:rsidRPr="00515B12" w:rsidRDefault="00C7715B" w:rsidP="00C7715B">
      <w:r w:rsidRPr="00515B12">
        <w:t xml:space="preserve">The primary </w:t>
      </w:r>
      <w:r w:rsidRPr="00515B12">
        <w:rPr>
          <w:b/>
          <w:bCs/>
        </w:rPr>
        <w:t>required</w:t>
      </w:r>
      <w:r w:rsidRPr="00515B12">
        <w:t xml:space="preserve"> textbook for the course is:</w:t>
      </w:r>
    </w:p>
    <w:p w14:paraId="589A25F3" w14:textId="77777777" w:rsidR="00C7715B" w:rsidRPr="00515B12" w:rsidRDefault="00C7715B" w:rsidP="00C7715B"/>
    <w:p w14:paraId="2CAEBC50" w14:textId="278E39BC" w:rsidR="00C7715B" w:rsidRPr="00515B12" w:rsidRDefault="00C7715B" w:rsidP="00C7715B">
      <w:r w:rsidRPr="00515B12">
        <w:t xml:space="preserve">Wade, Lisa, and Myra Marx Ferree. 2022. </w:t>
      </w:r>
      <w:r w:rsidRPr="00515B12">
        <w:rPr>
          <w:i/>
        </w:rPr>
        <w:t>Gender: Ideas, Interactions, Institutions 3</w:t>
      </w:r>
      <w:r w:rsidRPr="00515B12">
        <w:rPr>
          <w:i/>
          <w:vertAlign w:val="superscript"/>
        </w:rPr>
        <w:t>rd</w:t>
      </w:r>
      <w:r w:rsidRPr="00515B12">
        <w:rPr>
          <w:i/>
        </w:rPr>
        <w:t xml:space="preserve"> edition</w:t>
      </w:r>
      <w:r w:rsidRPr="00515B12">
        <w:t xml:space="preserve">. New York: W.W. Norton &amp; Company. </w:t>
      </w:r>
    </w:p>
    <w:p w14:paraId="330C90E8" w14:textId="77777777" w:rsidR="00C7715B" w:rsidRPr="00515B12" w:rsidRDefault="00C7715B">
      <w:pPr>
        <w:rPr>
          <w:b/>
          <w:bCs/>
        </w:rPr>
      </w:pPr>
    </w:p>
    <w:sectPr w:rsidR="00C7715B" w:rsidRPr="00515B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EA4BCB"/>
    <w:multiLevelType w:val="hybridMultilevel"/>
    <w:tmpl w:val="0D921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E778F9"/>
    <w:multiLevelType w:val="hybridMultilevel"/>
    <w:tmpl w:val="884425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8069736">
    <w:abstractNumId w:val="0"/>
  </w:num>
  <w:num w:numId="2" w16cid:durableId="908156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BB4"/>
    <w:rsid w:val="0014755A"/>
    <w:rsid w:val="0042457D"/>
    <w:rsid w:val="00515B12"/>
    <w:rsid w:val="005B06BB"/>
    <w:rsid w:val="005B1025"/>
    <w:rsid w:val="00692422"/>
    <w:rsid w:val="00723BB4"/>
    <w:rsid w:val="007257D1"/>
    <w:rsid w:val="00900F74"/>
    <w:rsid w:val="00A07AC7"/>
    <w:rsid w:val="00B170F2"/>
    <w:rsid w:val="00C64F52"/>
    <w:rsid w:val="00C7715B"/>
    <w:rsid w:val="00C80E42"/>
    <w:rsid w:val="00E008A5"/>
    <w:rsid w:val="00E11394"/>
    <w:rsid w:val="00E75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0822D2"/>
  <w15:chartTrackingRefBased/>
  <w15:docId w15:val="{C3004489-71DB-9641-B55F-112E84ECD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BB4"/>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723B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3B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3B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3B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3B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3BB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3BB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3BB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3BB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3B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3B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3B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3B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3B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3B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3B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3B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3BB4"/>
    <w:rPr>
      <w:rFonts w:eastAsiaTheme="majorEastAsia" w:cstheme="majorBidi"/>
      <w:color w:val="272727" w:themeColor="text1" w:themeTint="D8"/>
    </w:rPr>
  </w:style>
  <w:style w:type="paragraph" w:styleId="Title">
    <w:name w:val="Title"/>
    <w:basedOn w:val="Normal"/>
    <w:next w:val="Normal"/>
    <w:link w:val="TitleChar"/>
    <w:uiPriority w:val="10"/>
    <w:qFormat/>
    <w:rsid w:val="00723BB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3B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3BB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3B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3BB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23BB4"/>
    <w:rPr>
      <w:i/>
      <w:iCs/>
      <w:color w:val="404040" w:themeColor="text1" w:themeTint="BF"/>
    </w:rPr>
  </w:style>
  <w:style w:type="paragraph" w:styleId="ListParagraph">
    <w:name w:val="List Paragraph"/>
    <w:basedOn w:val="Normal"/>
    <w:uiPriority w:val="34"/>
    <w:qFormat/>
    <w:rsid w:val="00723BB4"/>
    <w:pPr>
      <w:ind w:left="720"/>
      <w:contextualSpacing/>
    </w:pPr>
  </w:style>
  <w:style w:type="character" w:styleId="IntenseEmphasis">
    <w:name w:val="Intense Emphasis"/>
    <w:basedOn w:val="DefaultParagraphFont"/>
    <w:uiPriority w:val="21"/>
    <w:qFormat/>
    <w:rsid w:val="00723BB4"/>
    <w:rPr>
      <w:i/>
      <w:iCs/>
      <w:color w:val="0F4761" w:themeColor="accent1" w:themeShade="BF"/>
    </w:rPr>
  </w:style>
  <w:style w:type="paragraph" w:styleId="IntenseQuote">
    <w:name w:val="Intense Quote"/>
    <w:basedOn w:val="Normal"/>
    <w:next w:val="Normal"/>
    <w:link w:val="IntenseQuoteChar"/>
    <w:uiPriority w:val="30"/>
    <w:qFormat/>
    <w:rsid w:val="00723B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3BB4"/>
    <w:rPr>
      <w:i/>
      <w:iCs/>
      <w:color w:val="0F4761" w:themeColor="accent1" w:themeShade="BF"/>
    </w:rPr>
  </w:style>
  <w:style w:type="character" w:styleId="IntenseReference">
    <w:name w:val="Intense Reference"/>
    <w:basedOn w:val="DefaultParagraphFont"/>
    <w:uiPriority w:val="32"/>
    <w:qFormat/>
    <w:rsid w:val="00723BB4"/>
    <w:rPr>
      <w:b/>
      <w:bCs/>
      <w:smallCaps/>
      <w:color w:val="0F4761" w:themeColor="accent1" w:themeShade="BF"/>
      <w:spacing w:val="5"/>
    </w:rPr>
  </w:style>
  <w:style w:type="table" w:styleId="TableGrid">
    <w:name w:val="Table Grid"/>
    <w:basedOn w:val="TableNormal"/>
    <w:uiPriority w:val="39"/>
    <w:rsid w:val="00723BB4"/>
    <w:rPr>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e62a12b-2cad-49a1-a5fa-85f4f3156a7d}" enabled="0" method="" siteId="{be62a12b-2cad-49a1-a5fa-85f4f3156a7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371</Words>
  <Characters>1977</Characters>
  <Application>Microsoft Office Word</Application>
  <DocSecurity>0</DocSecurity>
  <Lines>32</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Linares-Roake</dc:creator>
  <cp:keywords/>
  <dc:description/>
  <cp:lastModifiedBy>Julia Linares-Roake</cp:lastModifiedBy>
  <cp:revision>5</cp:revision>
  <dcterms:created xsi:type="dcterms:W3CDTF">2024-08-02T13:30:00Z</dcterms:created>
  <dcterms:modified xsi:type="dcterms:W3CDTF">2024-08-02T13:33:00Z</dcterms:modified>
</cp:coreProperties>
</file>